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after="0"/>
      </w:pPr>
      <w:r>
        <w:rPr>
          <w:rtl w:val="0"/>
          <w:lang w:val="fr-FR"/>
        </w:rPr>
        <w:t xml:space="preserve">Encouraging Engagement </w:t>
      </w:r>
    </w:p>
    <w:p>
      <w:pPr>
        <w:pStyle w:val="Heading"/>
        <w:spacing w:after="0"/>
      </w:pPr>
      <w:r>
        <w:rPr>
          <w:rtl w:val="0"/>
          <w:lang w:val="en-US"/>
        </w:rPr>
        <w:t>in Online Instruction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Niche Academy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November 2, 2022</w:t>
      </w:r>
    </w:p>
    <w:p>
      <w:pPr>
        <w:pStyle w:val="Body"/>
        <w:jc w:val="center"/>
      </w:pPr>
    </w:p>
    <w:p>
      <w:pPr>
        <w:pStyle w:val="Body"/>
        <w:jc w:val="center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  <w:r/>
    </w:p>
    <w:p>
      <w:pPr>
        <w:pStyle w:val="Body"/>
      </w:pPr>
      <w:r>
        <w:rPr>
          <w:rtl w:val="0"/>
          <w:lang w:val="da-DK"/>
        </w:rPr>
        <w:t>Laura Saunders</w:t>
      </w:r>
    </w:p>
    <w:p>
      <w:pPr>
        <w:pStyle w:val="Body"/>
      </w:pPr>
      <w:r>
        <w:rPr>
          <w:rtl w:val="0"/>
          <w:lang w:val="en-US"/>
        </w:rPr>
        <w:t>Simmons University</w:t>
      </w:r>
    </w:p>
    <w:p>
      <w:pPr>
        <w:pStyle w:val="Body"/>
      </w:pPr>
      <w:r>
        <w:rPr>
          <w:rtl w:val="0"/>
          <w:lang w:val="it-IT"/>
        </w:rPr>
        <w:t>laura.saunders@simmons.edu</w:t>
      </w:r>
    </w:p>
    <w:p>
      <w:pPr>
        <w:pStyle w:val="Body"/>
      </w:pPr>
      <w:r>
        <w:rPr>
          <w:rtl w:val="0"/>
        </w:rPr>
        <w:t>@bibliolaura</w:t>
      </w:r>
    </w:p>
    <w:p>
      <w:pPr>
        <w:pStyle w:val="Body"/>
      </w:pPr>
    </w:p>
    <w:p>
      <w:pPr>
        <w:pStyle w:val="Body"/>
      </w:pPr>
      <w:r>
        <w:rPr>
          <w:rtl w:val="0"/>
        </w:rPr>
        <w:t>Melissa Wong</w:t>
      </w:r>
    </w:p>
    <w:p>
      <w:pPr>
        <w:pStyle w:val="Body"/>
      </w:pPr>
      <w:r>
        <w:rPr>
          <w:rtl w:val="0"/>
          <w:lang w:val="en-US"/>
        </w:rPr>
        <w:t>University of Illinois at Urbana-Champaign</w:t>
      </w:r>
    </w:p>
    <w:p>
      <w:pPr>
        <w:pStyle w:val="Body"/>
      </w:pPr>
      <w:r>
        <w:rPr>
          <w:rtl w:val="0"/>
        </w:rPr>
        <w:t>mawong@illinois.edu</w:t>
      </w:r>
    </w:p>
    <w:p>
      <w:pPr>
        <w:pStyle w:val="Body"/>
      </w:pPr>
      <w:r>
        <w:rPr>
          <w:rtl w:val="0"/>
          <w:lang w:val="en-US"/>
        </w:rPr>
        <w:t>@LISafterClass</w:t>
      </w:r>
    </w:p>
    <w:p>
      <w:pPr>
        <w:pStyle w:val="Body"/>
        <w:jc w:val="center"/>
        <w:sectPr>
          <w:type w:val="continuous"/>
          <w:pgSz w:w="12240" w:h="15840" w:orient="portrait"/>
          <w:pgMar w:top="1440" w:right="1440" w:bottom="1440" w:left="1440" w:header="720" w:footer="720"/>
          <w:cols w:space="720" w:num="2" w:equalWidth="1"/>
          <w:bidi w:val="0"/>
        </w:sectPr>
      </w:pPr>
      <w:r/>
    </w:p>
    <w:p>
      <w:pPr>
        <w:pStyle w:val="Body"/>
        <w:jc w:val="center"/>
      </w:pPr>
    </w:p>
    <w:p>
      <w:pPr>
        <w:pStyle w:val="Heading 2"/>
      </w:pPr>
      <w:r>
        <w:rPr>
          <w:rtl w:val="0"/>
          <w:lang w:val="en-US"/>
        </w:rPr>
        <w:t>Polling and Response Tools</w:t>
      </w:r>
    </w:p>
    <w:p>
      <w:pPr>
        <w:pStyle w:val="Body"/>
        <w:ind w:left="360" w:hanging="360"/>
      </w:pPr>
    </w:p>
    <w:p>
      <w:pPr>
        <w:pStyle w:val="Body"/>
        <w:ind w:left="360" w:hanging="36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"https://answergarden.ch/"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AnswerGarden</w:t>
      </w:r>
      <w:r>
        <w:rPr/>
        <w:fldChar w:fldCharType="end" w:fldLock="0"/>
      </w:r>
    </w:p>
    <w:p>
      <w:pPr>
        <w:pStyle w:val="Body"/>
        <w:ind w:left="720" w:hanging="360"/>
      </w:pPr>
      <w:r>
        <w:rPr>
          <w:rtl w:val="0"/>
          <w:lang w:val="en-US"/>
        </w:rPr>
        <w:t>Creates a word cloud from participant responses.</w:t>
      </w:r>
    </w:p>
    <w:p>
      <w:pPr>
        <w:pStyle w:val="Body"/>
        <w:ind w:left="360" w:firstLine="0"/>
      </w:pPr>
    </w:p>
    <w:p>
      <w:pPr>
        <w:pStyle w:val="Body"/>
        <w:ind w:left="360" w:hanging="36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Google Tools</w:t>
      </w:r>
      <w:r>
        <w:rPr/>
        <w:fldChar w:fldCharType="end" w:fldLock="0"/>
      </w:r>
    </w:p>
    <w:p>
      <w:pPr>
        <w:pStyle w:val="Body"/>
        <w:ind w:left="720" w:hanging="360"/>
      </w:pPr>
      <w:r>
        <w:rPr>
          <w:rtl w:val="0"/>
        </w:rPr>
        <w:t xml:space="preserve">Docs </w:t>
      </w:r>
      <w:r>
        <w:rPr>
          <w:rtl w:val="0"/>
        </w:rPr>
        <w:t xml:space="preserve">– </w:t>
      </w:r>
      <w:r>
        <w:rPr>
          <w:rtl w:val="0"/>
          <w:lang w:val="en-US"/>
        </w:rPr>
        <w:t>Word processing app; can be used to collect questions or as a space for group work.</w:t>
      </w:r>
    </w:p>
    <w:p>
      <w:pPr>
        <w:pStyle w:val="Body"/>
        <w:ind w:left="720" w:hanging="360"/>
      </w:pPr>
      <w:r>
        <w:rPr>
          <w:rtl w:val="0"/>
          <w:lang w:val="en-US"/>
        </w:rPr>
        <w:t xml:space="preserve">Forms </w:t>
      </w:r>
      <w:r>
        <w:rPr>
          <w:rtl w:val="0"/>
        </w:rPr>
        <w:t xml:space="preserve">– </w:t>
      </w:r>
      <w:r>
        <w:rPr>
          <w:rtl w:val="0"/>
          <w:lang w:val="en-US"/>
        </w:rPr>
        <w:t>Survey tool that can also be used for in-class polling.</w:t>
      </w:r>
    </w:p>
    <w:p>
      <w:pPr>
        <w:pStyle w:val="Body"/>
        <w:ind w:left="720" w:hanging="360"/>
      </w:pPr>
      <w:r>
        <w:rPr>
          <w:rtl w:val="0"/>
          <w:lang w:val="en-US"/>
        </w:rPr>
        <w:t xml:space="preserve">Jamboard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Whiteboard tool for reflection, brainstorming, etc. (limit of 50 participants). </w:t>
      </w:r>
    </w:p>
    <w:p>
      <w:pPr>
        <w:pStyle w:val="Body"/>
        <w:ind w:left="360" w:firstLine="0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"https://kahoot.it/"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Kahoot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Gamifies quizzing by adding music (which you can turn off) and scores for correct/speedy answers; aimed at the K12 market, but some college students enjoy. </w:t>
      </w:r>
    </w:p>
    <w:p>
      <w:pPr>
        <w:pStyle w:val="Body"/>
        <w:ind w:left="360" w:firstLine="0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"https://www.mentimeter.com/"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Mentimeter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  <w:lang w:val="en-US"/>
        </w:rPr>
        <w:t>Offers many question types, including open-ended.</w:t>
      </w:r>
    </w:p>
    <w:p>
      <w:pPr>
        <w:pStyle w:val="Body"/>
        <w:ind w:left="360" w:firstLine="0"/>
      </w:pPr>
    </w:p>
    <w:p>
      <w:pPr>
        <w:pStyle w:val="Body"/>
        <w:ind w:left="360" w:hanging="36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"https://miro.com/"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Miro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  <w:lang w:val="en-US"/>
        </w:rPr>
        <w:t>Whiteboard-style app; can be used for reflection, brainstorming, etc.</w:t>
      </w:r>
    </w:p>
    <w:p>
      <w:pPr>
        <w:pStyle w:val="Body"/>
        <w:ind w:left="360" w:hanging="360"/>
      </w:pPr>
    </w:p>
    <w:p>
      <w:pPr>
        <w:pStyle w:val="Body"/>
        <w:ind w:left="360" w:hanging="36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"https://padlet.com/"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Padlet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</w:rPr>
        <w:t xml:space="preserve">Interactve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mood boards</w:t>
      </w:r>
      <w:r>
        <w:rPr>
          <w:rtl w:val="0"/>
        </w:rPr>
        <w:t>”</w:t>
      </w:r>
      <w:r>
        <w:rPr>
          <w:rtl w:val="0"/>
          <w:lang w:val="en-US"/>
        </w:rPr>
        <w:t xml:space="preserve">; can be used for reflection, brainstorming, etc. </w:t>
      </w:r>
    </w:p>
    <w:p>
      <w:pPr>
        <w:pStyle w:val="Body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"https://www.polleverywhere.com/"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Poll Everywhere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  <w:lang w:val="en-US"/>
        </w:rPr>
        <w:t>Offers many question types, including open-ended.</w:t>
      </w:r>
    </w:p>
    <w:p>
      <w:pPr>
        <w:pStyle w:val="Body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"https://www.socrative.com/"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Socrative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  <w:lang w:val="en-US"/>
        </w:rPr>
        <w:t>Offers many question types, including open-ended.</w:t>
      </w:r>
    </w:p>
    <w:p>
      <w:pPr>
        <w:pStyle w:val="Body"/>
        <w:ind w:left="360" w:hanging="360"/>
      </w:pPr>
    </w:p>
    <w:p>
      <w:pPr>
        <w:pStyle w:val="Heading 2"/>
      </w:pPr>
      <w:r>
        <w:rPr>
          <w:rtl w:val="0"/>
          <w:lang w:val="en-US"/>
        </w:rPr>
        <w:t>Active Learning / Interaction Ideas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Both of these sites offer numerous ideas for integrating interaction into synchronous online instruction. 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>Louisiana State University.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"https://docs.google.com/document/d/15ZtTu2pmQRU_eC3gMccVhVwDR57PDs4uxlMB7Bs1os8/edit"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Teaching Tools: Active Learning While Physically Distancing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ind w:left="360" w:firstLine="0"/>
        <w:rPr>
          <w:b w:val="1"/>
          <w:bCs w:val="1"/>
        </w:rPr>
      </w:pPr>
    </w:p>
    <w:p>
      <w:pPr>
        <w:pStyle w:val="Body"/>
        <w:ind w:left="360" w:firstLine="0"/>
      </w:pPr>
      <w:r>
        <w:rPr>
          <w:rtl w:val="0"/>
          <w:lang w:val="de-DE"/>
        </w:rPr>
        <w:t xml:space="preserve">NYU Steinhardt.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"https://sites.google.com/nyu.edu/nyu-steinhardt-toolkit/instructional-activities/zoom-activities?authuser=0"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Zoom Active Learning Activities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And here</w:t>
      </w:r>
      <w:r>
        <w:rPr>
          <w:rtl w:val="1"/>
        </w:rPr>
        <w:t>’</w:t>
      </w:r>
      <w:r>
        <w:rPr>
          <w:rtl w:val="0"/>
          <w:lang w:val="en-US"/>
        </w:rPr>
        <w:t xml:space="preserve">s a quick explanation of the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waterfall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technique. 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 xml:space="preserve">The Curious Educator.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"https://www.curiouseducator.com/blog/waterfall-a-quick-strategy-to-use-in-virtual-instruction"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Waterfall a Quick Strategy to Use in Virtual Instruction</w:t>
      </w:r>
      <w:r>
        <w:rPr/>
        <w:fldChar w:fldCharType="end" w:fldLock="0"/>
      </w:r>
    </w:p>
    <w:p>
      <w:pPr>
        <w:pStyle w:val="Body"/>
      </w:pPr>
    </w:p>
    <w:p>
      <w:pPr>
        <w:pStyle w:val="Heading 2"/>
      </w:pPr>
      <w:r>
        <w:rPr>
          <w:rtl w:val="0"/>
          <w:lang w:val="en-US"/>
        </w:rPr>
        <w:t>Resources</w:t>
      </w:r>
    </w:p>
    <w:p>
      <w:pPr>
        <w:pStyle w:val="Body"/>
      </w:pPr>
    </w:p>
    <w:p>
      <w:pPr>
        <w:pStyle w:val="Body"/>
        <w:ind w:left="360" w:hanging="360"/>
      </w:pPr>
      <w:r>
        <w:rPr>
          <w:rtl w:val="0"/>
          <w:lang w:val="it-IT"/>
        </w:rPr>
        <w:t xml:space="preserve">Saunders, Laura, and Melissa A. Wong. 2020. </w:t>
      </w:r>
      <w:r>
        <w:rPr>
          <w:i w:val="1"/>
          <w:iCs w:val="1"/>
          <w:rtl w:val="0"/>
          <w:lang w:val="en-US"/>
        </w:rPr>
        <w:t>Instruction in Libraries and Information Centers: An Introduction</w:t>
      </w:r>
      <w:r>
        <w:rPr>
          <w:rtl w:val="0"/>
          <w:lang w:val="en-US"/>
        </w:rPr>
        <w:t xml:space="preserve">. Champaign, IL: Illinois Open Publishing Network.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"https://iopn.library.illinois.edu/books/windsor-downs/catalog/book/12"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https://iopn.library.illinois.edu/books/windsor-downs/catalog/book/12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Open access textbook on instructional strategies for librarians and information professionals. </w:t>
      </w:r>
    </w:p>
    <w:p>
      <w:pPr>
        <w:pStyle w:val="Body"/>
      </w:pPr>
    </w:p>
    <w:p>
      <w:pPr>
        <w:pStyle w:val="Body"/>
        <w:ind w:left="360" w:hanging="360"/>
      </w:pPr>
      <w:r>
        <w:rPr>
          <w:rtl w:val="0"/>
        </w:rPr>
        <w:t xml:space="preserve">Wong, Melissa A. </w:t>
      </w:r>
      <w:r>
        <w:rPr>
          <w:i w:val="1"/>
          <w:iCs w:val="1"/>
          <w:rtl w:val="0"/>
          <w:lang w:val="en-US"/>
        </w:rPr>
        <w:t>Instructional Design for LIS Professionals: A Guide for Teaching Librarians and Information Science Professionals</w:t>
      </w:r>
      <w:r>
        <w:rPr>
          <w:rtl w:val="0"/>
          <w:lang w:val="en-US"/>
        </w:rPr>
        <w:t xml:space="preserve">. Libraries Unlimited, 2019.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"https://www.abc-clio.com/products/A5902P/"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https://www.abc-clio.com/products/A5902P/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Concise guide to instructional design for LIS professionals. Libraries Unlimited offers a 20% discount to Niche Academy webinar attendees (code: NICHE). </w:t>
      </w:r>
    </w:p>
    <w:p>
      <w:pPr>
        <w:pStyle w:val="Body"/>
        <w:ind w:left="360" w:hanging="360"/>
      </w:pPr>
    </w:p>
    <w:p>
      <w:pPr>
        <w:pStyle w:val="Body"/>
        <w:ind w:left="360" w:hanging="360"/>
      </w:pPr>
      <w:r>
        <w:rPr>
          <w:rtl w:val="0"/>
        </w:rPr>
        <w:t xml:space="preserve">LIS Pedagogy Chat.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"https://www.lispedagogychat.org/"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https://www.lispedagogychat.org/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Online community of practice for LIS educators and practioners. </w:t>
      </w:r>
    </w:p>
    <w:sectPr>
      <w:type w:val="continuous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pBdr>
        <w:top w:val="single" w:color="2e74b5" w:sz="12" w:space="0" w:shadow="0" w:frame="0"/>
        <w:left w:val="nil"/>
        <w:bottom w:val="single" w:color="2e74b5" w:sz="12" w:space="0" w:shadow="0" w:frame="0"/>
        <w:right w:val="nil"/>
      </w:pBdr>
      <w:shd w:val="clear" w:color="auto" w:fill="auto"/>
      <w:suppressAutoHyphens w:val="0"/>
      <w:bidi w:val="0"/>
      <w:spacing w:before="0" w:after="36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56"/>
      <w:position w:val="0"/>
      <w:sz w:val="48"/>
      <w:szCs w:val="48"/>
      <w:u w:val="none" w:color="365f91"/>
      <w:shd w:val="nil" w:color="auto" w:fill="auto"/>
      <w:vertAlign w:val="baseline"/>
      <w:lang w:val="fr-FR"/>
      <w14:textOutline>
        <w14:noFill/>
      </w14:textOutline>
      <w14:textFill>
        <w14:solidFill>
          <w14:srgbClr w14:val="365F9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200" w:after="8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en-US"/>
      <w14:textOutline>
        <w14:noFill/>
      </w14:textOutline>
      <w14:textFill>
        <w14:solidFill>
          <w14:srgbClr w14:val="365F91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